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EF45" w14:textId="729E6E1B" w:rsidR="007E7878" w:rsidRDefault="007E7878">
      <w:r w:rsidRPr="00AF1890">
        <w:rPr>
          <w:rFonts w:ascii="Trebuchet MS" w:eastAsia="宋体" w:hAnsi="Trebuchet MS"/>
          <w:noProof/>
        </w:rPr>
        <w:drawing>
          <wp:anchor distT="0" distB="0" distL="118745" distR="118745" simplePos="0" relativeHeight="251666432" behindDoc="0" locked="0" layoutInCell="1" allowOverlap="1" wp14:anchorId="78A8B9AE" wp14:editId="2C841387">
            <wp:simplePos x="0" y="0"/>
            <wp:positionH relativeFrom="page">
              <wp:posOffset>2883852</wp:posOffset>
            </wp:positionH>
            <wp:positionV relativeFrom="page">
              <wp:posOffset>-932496</wp:posOffset>
            </wp:positionV>
            <wp:extent cx="2079626" cy="6648450"/>
            <wp:effectExtent l="1588" t="0" r="4762" b="4763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9626" cy="664845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宋体" w:hAnsi="Trebuchet MS"/>
          <w:noProof/>
        </w:rPr>
        <w:drawing>
          <wp:anchor distT="0" distB="0" distL="114300" distR="114300" simplePos="0" relativeHeight="251668480" behindDoc="0" locked="0" layoutInCell="1" allowOverlap="1" wp14:anchorId="1E030D26" wp14:editId="7C6AE3D2">
            <wp:simplePos x="0" y="0"/>
            <wp:positionH relativeFrom="column">
              <wp:posOffset>-124460</wp:posOffset>
            </wp:positionH>
            <wp:positionV relativeFrom="paragraph">
              <wp:posOffset>-516255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E03E" w14:textId="77777777" w:rsidR="007E7878" w:rsidRDefault="007E7878"/>
    <w:p w14:paraId="19356A84" w14:textId="42F2EC95" w:rsidR="007E7878" w:rsidRDefault="00817B4B">
      <w:r w:rsidRPr="00AF1890">
        <w:rPr>
          <w:rFonts w:ascii="Trebuchet MS" w:eastAsia="宋体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FC55" wp14:editId="133B1DE9">
                <wp:simplePos x="0" y="0"/>
                <wp:positionH relativeFrom="page">
                  <wp:posOffset>615950</wp:posOffset>
                </wp:positionH>
                <wp:positionV relativeFrom="page">
                  <wp:posOffset>1483360</wp:posOffset>
                </wp:positionV>
                <wp:extent cx="6648450" cy="1833880"/>
                <wp:effectExtent l="0" t="0" r="0" b="0"/>
                <wp:wrapThrough wrapText="bothSides">
                  <wp:wrapPolygon edited="0">
                    <wp:start x="83" y="0"/>
                    <wp:lineTo x="83" y="21241"/>
                    <wp:lineTo x="21456" y="21241"/>
                    <wp:lineTo x="21456" y="0"/>
                    <wp:lineTo x="83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C26054" w14:textId="758CC689" w:rsidR="00565B09" w:rsidRPr="006953EF" w:rsidRDefault="00E20305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NERIS Workshop 2017</w:t>
                            </w:r>
                          </w:p>
                          <w:p w14:paraId="384DF496" w14:textId="77777777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DA2523B" w14:textId="1FE1265A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E20305" w:rsidRPr="006953EF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17-19 May 2017</w:t>
                            </w:r>
                          </w:p>
                          <w:p w14:paraId="644E24F4" w14:textId="1574B72B" w:rsidR="006953EF" w:rsidRPr="006953EF" w:rsidRDefault="006953EF" w:rsidP="006953EF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Lisbon</w:t>
                            </w:r>
                            <w:proofErr w:type="spellEnd"/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44"/>
                                <w:szCs w:val="44"/>
                              </w:rPr>
                              <w:t>, Portugal</w:t>
                            </w:r>
                          </w:p>
                          <w:p w14:paraId="46151D54" w14:textId="77777777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12F4EF" w14:textId="4B0AE677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953EF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Abstract Instructions</w:t>
                            </w:r>
                          </w:p>
                          <w:p w14:paraId="794B515C" w14:textId="77777777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97D1CC6" w14:textId="77777777" w:rsidR="00565B09" w:rsidRPr="006953EF" w:rsidRDefault="00565B09" w:rsidP="007E7878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FirtAbstract</w:t>
                            </w:r>
                            <w:proofErr w:type="spellEnd"/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6953EF">
                              <w:rPr>
                                <w:rFonts w:ascii="Helvetica" w:hAnsi="Helvetica"/>
                                <w:color w:val="FFFFFF" w:themeColor="background1"/>
                                <w:sz w:val="52"/>
                                <w:szCs w:val="52"/>
                              </w:rPr>
                              <w:t>Templates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48.5pt;margin-top:116.8pt;width:523.5pt;height:144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" mv:complextextbox="1" filled="f" stroked="f">
                <v:textbox>
                  <w:txbxContent>
                    <w:p w14:paraId="01C26054" w14:textId="758CC689" w:rsidR="00565B09" w:rsidRPr="006953EF" w:rsidRDefault="00E20305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953EF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NERIS Workshop 2017</w:t>
                      </w:r>
                    </w:p>
                    <w:p w14:paraId="384DF496" w14:textId="77777777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DA2523B" w14:textId="1FE1265A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953EF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E20305" w:rsidRPr="006953EF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17-19 May 2017</w:t>
                      </w:r>
                    </w:p>
                    <w:p w14:paraId="644E24F4" w14:textId="1574B72B" w:rsidR="006953EF" w:rsidRPr="006953EF" w:rsidRDefault="006953EF" w:rsidP="006953EF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</w:pPr>
                      <w:proofErr w:type="spellStart"/>
                      <w:r w:rsidRPr="006953EF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Lisbon</w:t>
                      </w:r>
                      <w:proofErr w:type="spellEnd"/>
                      <w:r w:rsidRPr="006953EF">
                        <w:rPr>
                          <w:rFonts w:ascii="Helvetica" w:hAnsi="Helvetica"/>
                          <w:color w:val="FFFFFF" w:themeColor="background1"/>
                          <w:sz w:val="44"/>
                          <w:szCs w:val="44"/>
                        </w:rPr>
                        <w:t>, Portugal</w:t>
                      </w:r>
                    </w:p>
                    <w:p w14:paraId="46151D54" w14:textId="77777777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12F4EF" w14:textId="4B0AE677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6953EF">
                        <w:rPr>
                          <w:rFonts w:ascii="Helvetica" w:hAnsi="Helvetica"/>
                          <w:b/>
                          <w:color w:val="FFFFFF" w:themeColor="background1"/>
                          <w:sz w:val="52"/>
                          <w:szCs w:val="52"/>
                        </w:rPr>
                        <w:t>Abstract Instructions</w:t>
                      </w:r>
                    </w:p>
                    <w:p w14:paraId="794B515C" w14:textId="77777777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97D1CC6" w14:textId="77777777" w:rsidR="00565B09" w:rsidRPr="006953EF" w:rsidRDefault="00565B09" w:rsidP="007E7878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 w:rsidRPr="006953EF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FirtAbstract</w:t>
                      </w:r>
                      <w:proofErr w:type="spellEnd"/>
                      <w:r w:rsidRPr="006953EF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6953EF">
                        <w:rPr>
                          <w:rFonts w:ascii="Helvetica" w:hAnsi="Helvetica"/>
                          <w:color w:val="FFFFFF" w:themeColor="background1"/>
                          <w:sz w:val="52"/>
                          <w:szCs w:val="52"/>
                        </w:rPr>
                        <w:t>Templates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1440213" w14:textId="77777777" w:rsidR="007E7878" w:rsidRDefault="007E7878"/>
    <w:p w14:paraId="19106E9E" w14:textId="77777777" w:rsidR="007E7878" w:rsidRDefault="007E7878"/>
    <w:p w14:paraId="1CC37D4D" w14:textId="77777777" w:rsidR="006D2138" w:rsidRDefault="006D2138" w:rsidP="007E7878">
      <w:pPr>
        <w:pBdr>
          <w:top w:val="single" w:sz="24" w:space="1" w:color="0C5986"/>
        </w:pBdr>
        <w:outlineLvl w:val="0"/>
        <w:rPr>
          <w:rFonts w:ascii="Helvetica" w:eastAsia="宋体" w:hAnsi="Helvetica"/>
          <w:bCs/>
          <w:lang w:val="en-US" w:eastAsia="en-US"/>
        </w:rPr>
      </w:pPr>
    </w:p>
    <w:p w14:paraId="12AAABC5" w14:textId="6F6F20CB" w:rsidR="006D2138" w:rsidRDefault="006D2138" w:rsidP="008D5110">
      <w:pPr>
        <w:jc w:val="both"/>
        <w:rPr>
          <w:rFonts w:ascii="Helvetica" w:eastAsia="宋体" w:hAnsi="Helvetica"/>
          <w:bCs/>
          <w:lang w:val="en-US" w:eastAsia="en-US"/>
        </w:rPr>
      </w:pPr>
      <w:r>
        <w:rPr>
          <w:rFonts w:ascii="Helvetica" w:eastAsia="宋体" w:hAnsi="Helvetica"/>
          <w:bCs/>
          <w:lang w:val="en-US" w:eastAsia="en-US"/>
        </w:rPr>
        <w:t xml:space="preserve">All NERIS Members are encouraged to submit </w:t>
      </w:r>
      <w:r w:rsidRPr="006D2138">
        <w:rPr>
          <w:rFonts w:ascii="Helvetica" w:eastAsia="宋体" w:hAnsi="Helvetica"/>
          <w:bCs/>
          <w:lang w:val="en-US" w:eastAsia="en-US"/>
        </w:rPr>
        <w:t>an abstract for oral or poster presentation</w:t>
      </w:r>
      <w:r w:rsidR="003942C6">
        <w:rPr>
          <w:rFonts w:ascii="Helvetica" w:eastAsia="宋体" w:hAnsi="Helvetica"/>
          <w:bCs/>
          <w:lang w:val="en-US" w:eastAsia="en-US"/>
        </w:rPr>
        <w:t xml:space="preserve"> on </w:t>
      </w:r>
      <w:r w:rsidR="003942C6" w:rsidRPr="003942C6">
        <w:rPr>
          <w:rFonts w:ascii="Helvetica" w:eastAsia="宋体" w:hAnsi="Helvetica"/>
          <w:bCs/>
          <w:lang w:val="en-US" w:eastAsia="en-US"/>
        </w:rPr>
        <w:t>emergency and recovery preparedness and response</w:t>
      </w:r>
      <w:r w:rsidR="008D5110">
        <w:rPr>
          <w:rFonts w:ascii="Helvetica" w:eastAsia="宋体" w:hAnsi="Helvetica"/>
          <w:bCs/>
          <w:lang w:val="en-US" w:eastAsia="en-US"/>
        </w:rPr>
        <w:t xml:space="preserve">. </w:t>
      </w:r>
      <w:r w:rsidR="008D5110" w:rsidRPr="008D5110">
        <w:rPr>
          <w:rFonts w:ascii="Helvetica" w:eastAsia="宋体" w:hAnsi="Helvetica"/>
          <w:bCs/>
          <w:lang w:val="en-US" w:eastAsia="en-US"/>
        </w:rPr>
        <w:t xml:space="preserve">All topics related to the 3 research areas of the NERIS SRA </w:t>
      </w:r>
      <w:r w:rsidR="00C959D0">
        <w:rPr>
          <w:rFonts w:ascii="Helvetica" w:eastAsia="宋体" w:hAnsi="Helvetica"/>
          <w:bCs/>
          <w:lang w:val="en-US" w:eastAsia="en-US"/>
        </w:rPr>
        <w:t xml:space="preserve">or related </w:t>
      </w:r>
      <w:r w:rsidR="006953EF" w:rsidRPr="006953EF">
        <w:rPr>
          <w:rFonts w:ascii="Helvetica" w:eastAsia="宋体" w:hAnsi="Helvetica"/>
          <w:bCs/>
          <w:lang w:val="en-GB" w:eastAsia="en-US"/>
        </w:rPr>
        <w:t xml:space="preserve">to the </w:t>
      </w:r>
      <w:r w:rsidR="006953EF" w:rsidRPr="006953EF">
        <w:rPr>
          <w:rFonts w:ascii="Helvetica" w:eastAsia="宋体" w:hAnsi="Helvetica"/>
          <w:bCs/>
          <w:lang w:val="en-US" w:eastAsia="en-US"/>
        </w:rPr>
        <w:t xml:space="preserve">Stakeholder involvement and engagement in emergency and recovery as well as </w:t>
      </w:r>
      <w:r w:rsidR="001450C7">
        <w:rPr>
          <w:rFonts w:ascii="Helvetica" w:eastAsia="宋体" w:hAnsi="Helvetica"/>
          <w:bCs/>
          <w:lang w:val="en-GB" w:eastAsia="en-US"/>
        </w:rPr>
        <w:t>uncertainty handling issues for</w:t>
      </w:r>
      <w:r w:rsidR="006953EF">
        <w:rPr>
          <w:rFonts w:ascii="Helvetica" w:eastAsia="宋体" w:hAnsi="Helvetica"/>
          <w:bCs/>
          <w:lang w:val="en-GB" w:eastAsia="en-US"/>
        </w:rPr>
        <w:t xml:space="preserve"> emergency and recovery issues are</w:t>
      </w:r>
      <w:r w:rsidR="006953EF" w:rsidRPr="006953EF">
        <w:rPr>
          <w:rFonts w:ascii="Helvetica" w:eastAsia="宋体" w:hAnsi="Helvetica"/>
          <w:bCs/>
          <w:lang w:val="en-GB" w:eastAsia="en-US"/>
        </w:rPr>
        <w:t xml:space="preserve"> welcomed</w:t>
      </w:r>
    </w:p>
    <w:p w14:paraId="1249F527" w14:textId="77777777" w:rsidR="001450C7" w:rsidRDefault="001450C7" w:rsidP="008D5110">
      <w:pPr>
        <w:jc w:val="both"/>
        <w:rPr>
          <w:rFonts w:ascii="Helvetica" w:eastAsia="宋体" w:hAnsi="Helvetica"/>
          <w:b/>
          <w:bCs/>
          <w:u w:val="single"/>
          <w:lang w:val="en-US" w:eastAsia="en-US"/>
        </w:rPr>
      </w:pPr>
    </w:p>
    <w:p w14:paraId="1D46EA28" w14:textId="255FFAA4" w:rsidR="008D5110" w:rsidRDefault="008D5110" w:rsidP="008D5110">
      <w:pPr>
        <w:jc w:val="both"/>
        <w:rPr>
          <w:rFonts w:ascii="Helvetica" w:eastAsia="宋体" w:hAnsi="Helvetica"/>
          <w:b/>
          <w:bCs/>
          <w:u w:val="single"/>
          <w:lang w:val="en-US" w:eastAsia="en-US"/>
        </w:rPr>
      </w:pPr>
      <w:r w:rsidRPr="008D5110">
        <w:rPr>
          <w:rFonts w:ascii="Helvetica" w:eastAsia="宋体" w:hAnsi="Helvetica"/>
          <w:b/>
          <w:bCs/>
          <w:u w:val="single"/>
          <w:lang w:val="en-US" w:eastAsia="en-US"/>
        </w:rPr>
        <w:t xml:space="preserve">Topics: </w:t>
      </w:r>
    </w:p>
    <w:p w14:paraId="002DBA82" w14:textId="457F7C02" w:rsidR="008D5110" w:rsidRPr="004634F8" w:rsidRDefault="008D5110" w:rsidP="008D5110">
      <w:pPr>
        <w:jc w:val="both"/>
        <w:rPr>
          <w:rFonts w:ascii="Helvetica" w:eastAsia="宋体" w:hAnsi="Helvetica"/>
          <w:b/>
          <w:bCs/>
          <w:u w:val="single"/>
          <w:lang w:val="en-US" w:eastAsia="en-US"/>
        </w:rPr>
      </w:pPr>
    </w:p>
    <w:p w14:paraId="143AADFE" w14:textId="77777777" w:rsidR="009C6383" w:rsidRPr="006953EF" w:rsidRDefault="00C26671" w:rsidP="006953EF">
      <w:pPr>
        <w:numPr>
          <w:ilvl w:val="0"/>
          <w:numId w:val="4"/>
        </w:numPr>
        <w:spacing w:after="120"/>
        <w:jc w:val="both"/>
        <w:rPr>
          <w:rFonts w:ascii="Helvetica" w:eastAsia="宋体" w:hAnsi="Helvetica"/>
          <w:bCs/>
          <w:lang w:eastAsia="en-US"/>
        </w:rPr>
      </w:pPr>
      <w:r w:rsidRPr="006953EF">
        <w:rPr>
          <w:rFonts w:ascii="Helvetica" w:eastAsia="宋体" w:hAnsi="Helvetica"/>
          <w:bCs/>
          <w:lang w:val="en-GB" w:eastAsia="en-US"/>
        </w:rPr>
        <w:t xml:space="preserve">Challenges in </w:t>
      </w:r>
      <w:r w:rsidRPr="006953EF">
        <w:rPr>
          <w:rFonts w:ascii="Helvetica" w:eastAsia="宋体" w:hAnsi="Helvetica"/>
          <w:bCs/>
          <w:lang w:val="en-GB" w:eastAsia="en-US"/>
        </w:rPr>
        <w:t>radiological impact assessments during all phases of nuclear/radiological events.</w:t>
      </w:r>
    </w:p>
    <w:p w14:paraId="2A31AA03" w14:textId="14A23E94" w:rsidR="009C6383" w:rsidRPr="006953EF" w:rsidRDefault="00C26671" w:rsidP="006953EF">
      <w:pPr>
        <w:numPr>
          <w:ilvl w:val="0"/>
          <w:numId w:val="4"/>
        </w:numPr>
        <w:spacing w:after="120"/>
        <w:jc w:val="both"/>
        <w:rPr>
          <w:rFonts w:ascii="Helvetica" w:eastAsia="宋体" w:hAnsi="Helvetica"/>
          <w:bCs/>
          <w:lang w:eastAsia="en-US"/>
        </w:rPr>
      </w:pPr>
      <w:r w:rsidRPr="006953EF">
        <w:rPr>
          <w:rFonts w:ascii="Helvetica" w:eastAsia="宋体" w:hAnsi="Helvetica"/>
          <w:bCs/>
          <w:lang w:val="en-GB" w:eastAsia="en-US"/>
        </w:rPr>
        <w:t>Challenges in countermeasures and countermeasure strategies in emergency &amp; recovery, decision support &amp; disaster informatics</w:t>
      </w:r>
      <w:r w:rsidR="006953EF">
        <w:rPr>
          <w:rFonts w:ascii="Helvetica" w:eastAsia="宋体" w:hAnsi="Helvetica"/>
          <w:bCs/>
          <w:lang w:val="en-GB" w:eastAsia="en-US"/>
        </w:rPr>
        <w:t>.</w:t>
      </w:r>
    </w:p>
    <w:p w14:paraId="4E540C88" w14:textId="2C83EEC2" w:rsidR="009C6383" w:rsidRPr="006953EF" w:rsidRDefault="00C26671" w:rsidP="006953EF">
      <w:pPr>
        <w:numPr>
          <w:ilvl w:val="0"/>
          <w:numId w:val="4"/>
        </w:numPr>
        <w:spacing w:after="120"/>
        <w:jc w:val="both"/>
        <w:rPr>
          <w:rFonts w:ascii="Helvetica" w:eastAsia="宋体" w:hAnsi="Helvetica"/>
          <w:bCs/>
          <w:lang w:eastAsia="en-US"/>
        </w:rPr>
      </w:pPr>
      <w:r w:rsidRPr="006953EF">
        <w:rPr>
          <w:rFonts w:ascii="Helvetica" w:eastAsia="宋体" w:hAnsi="Helvetica"/>
          <w:bCs/>
          <w:lang w:val="en-GB" w:eastAsia="en-US"/>
        </w:rPr>
        <w:t>C</w:t>
      </w:r>
      <w:bookmarkStart w:id="0" w:name="_GoBack"/>
      <w:bookmarkEnd w:id="0"/>
      <w:r w:rsidRPr="006953EF">
        <w:rPr>
          <w:rFonts w:ascii="Helvetica" w:eastAsia="宋体" w:hAnsi="Helvetica"/>
          <w:bCs/>
          <w:lang w:val="en-GB" w:eastAsia="en-US"/>
        </w:rPr>
        <w:t>hallenges in setting-up a holistic framework fo</w:t>
      </w:r>
      <w:r w:rsidRPr="006953EF">
        <w:rPr>
          <w:rFonts w:ascii="Helvetica" w:eastAsia="宋体" w:hAnsi="Helvetica"/>
          <w:bCs/>
          <w:lang w:val="en-GB" w:eastAsia="en-US"/>
        </w:rPr>
        <w:t>r preparedness for emergency response &amp; recovery</w:t>
      </w:r>
      <w:r w:rsidR="006953EF">
        <w:rPr>
          <w:rFonts w:ascii="Helvetica" w:eastAsia="宋体" w:hAnsi="Helvetica"/>
          <w:bCs/>
          <w:lang w:val="en-GB" w:eastAsia="en-US"/>
        </w:rPr>
        <w:t>.</w:t>
      </w:r>
      <w:r w:rsidRPr="006953EF">
        <w:rPr>
          <w:rFonts w:ascii="Helvetica" w:eastAsia="宋体" w:hAnsi="Helvetica"/>
          <w:bCs/>
          <w:lang w:val="en-GB" w:eastAsia="en-US"/>
        </w:rPr>
        <w:t xml:space="preserve"> </w:t>
      </w:r>
    </w:p>
    <w:p w14:paraId="09719646" w14:textId="602E3441" w:rsidR="009C6383" w:rsidRPr="006953EF" w:rsidRDefault="00C26671" w:rsidP="006953EF">
      <w:pPr>
        <w:numPr>
          <w:ilvl w:val="0"/>
          <w:numId w:val="4"/>
        </w:numPr>
        <w:spacing w:after="120"/>
        <w:jc w:val="both"/>
        <w:rPr>
          <w:rFonts w:ascii="Helvetica" w:eastAsia="宋体" w:hAnsi="Helvetica"/>
          <w:bCs/>
          <w:lang w:eastAsia="en-US"/>
        </w:rPr>
      </w:pPr>
      <w:r w:rsidRPr="006953EF">
        <w:rPr>
          <w:rFonts w:ascii="Helvetica" w:eastAsia="宋体" w:hAnsi="Helvetica"/>
          <w:bCs/>
          <w:lang w:val="en-US" w:eastAsia="en-US"/>
        </w:rPr>
        <w:t>Stakeholder involvement and engagement in emergency and recovery</w:t>
      </w:r>
      <w:r w:rsidR="006953EF">
        <w:rPr>
          <w:rFonts w:ascii="Helvetica" w:eastAsia="宋体" w:hAnsi="Helvetica"/>
          <w:bCs/>
          <w:lang w:val="en-US" w:eastAsia="en-US"/>
        </w:rPr>
        <w:t>.</w:t>
      </w:r>
      <w:r w:rsidRPr="006953EF">
        <w:rPr>
          <w:rFonts w:ascii="Helvetica" w:eastAsia="宋体" w:hAnsi="Helvetica"/>
          <w:bCs/>
          <w:lang w:val="en-US" w:eastAsia="en-US"/>
        </w:rPr>
        <w:t xml:space="preserve"> </w:t>
      </w:r>
    </w:p>
    <w:p w14:paraId="36FA68A8" w14:textId="30BB08B6" w:rsidR="008D5110" w:rsidRPr="001450C7" w:rsidRDefault="001450C7" w:rsidP="001450C7">
      <w:pPr>
        <w:numPr>
          <w:ilvl w:val="0"/>
          <w:numId w:val="4"/>
        </w:numPr>
        <w:spacing w:after="120"/>
        <w:jc w:val="both"/>
        <w:rPr>
          <w:rFonts w:ascii="Helvetica" w:eastAsia="宋体" w:hAnsi="Helvetica"/>
          <w:bCs/>
          <w:lang w:eastAsia="en-US"/>
        </w:rPr>
      </w:pPr>
      <w:r>
        <w:rPr>
          <w:rFonts w:ascii="Helvetica" w:eastAsia="宋体" w:hAnsi="Helvetica"/>
          <w:bCs/>
          <w:lang w:val="en-GB" w:eastAsia="en-US"/>
        </w:rPr>
        <w:t>Uncertainty handling issues for</w:t>
      </w:r>
      <w:r w:rsidR="00C26671" w:rsidRPr="006953EF">
        <w:rPr>
          <w:rFonts w:ascii="Helvetica" w:eastAsia="宋体" w:hAnsi="Helvetica"/>
          <w:bCs/>
          <w:lang w:val="en-GB" w:eastAsia="en-US"/>
        </w:rPr>
        <w:t xml:space="preserve"> emergency and recovery</w:t>
      </w:r>
      <w:r w:rsidR="006953EF">
        <w:rPr>
          <w:rFonts w:ascii="Helvetica" w:eastAsia="宋体" w:hAnsi="Helvetica"/>
          <w:bCs/>
          <w:lang w:val="en-GB" w:eastAsia="en-US"/>
        </w:rPr>
        <w:t>.</w:t>
      </w:r>
    </w:p>
    <w:p w14:paraId="3A216268" w14:textId="36DF7C99" w:rsidR="008D5110" w:rsidRPr="008D5110" w:rsidRDefault="008D5110" w:rsidP="008D5110">
      <w:pPr>
        <w:jc w:val="both"/>
        <w:rPr>
          <w:rFonts w:ascii="Helvetica" w:eastAsia="宋体" w:hAnsi="Helvetica"/>
          <w:b/>
          <w:bCs/>
          <w:u w:val="single"/>
          <w:lang w:val="en-US" w:eastAsia="en-US"/>
        </w:rPr>
      </w:pPr>
      <w:r>
        <w:rPr>
          <w:rFonts w:ascii="Helvetica" w:eastAsia="宋体" w:hAnsi="Helvetica"/>
          <w:b/>
          <w:bCs/>
          <w:u w:val="single"/>
          <w:lang w:val="en-US" w:eastAsia="en-US"/>
        </w:rPr>
        <w:t xml:space="preserve">Instructions: </w:t>
      </w:r>
    </w:p>
    <w:p w14:paraId="3F8DB339" w14:textId="77777777" w:rsidR="008D5110" w:rsidRDefault="008D5110" w:rsidP="008D5110">
      <w:pPr>
        <w:jc w:val="both"/>
        <w:rPr>
          <w:rFonts w:ascii="Helvetica" w:eastAsia="宋体" w:hAnsi="Helvetica"/>
          <w:bCs/>
          <w:lang w:val="en-US" w:eastAsia="en-US"/>
        </w:rPr>
      </w:pPr>
    </w:p>
    <w:p w14:paraId="506DFBC8" w14:textId="62479E79" w:rsidR="005A234E" w:rsidRDefault="005A234E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>
        <w:rPr>
          <w:rFonts w:ascii="Helvetica" w:eastAsia="宋体" w:hAnsi="Helvetica"/>
          <w:bCs/>
          <w:sz w:val="24"/>
          <w:szCs w:val="24"/>
          <w:lang w:val="en-US"/>
        </w:rPr>
        <w:t>Abstract should be sent b</w:t>
      </w:r>
      <w:r w:rsidR="004D035D">
        <w:rPr>
          <w:rFonts w:ascii="Helvetica" w:eastAsia="宋体" w:hAnsi="Helvetica"/>
          <w:bCs/>
          <w:sz w:val="24"/>
          <w:szCs w:val="24"/>
          <w:lang w:val="en-US"/>
        </w:rPr>
        <w:t>y email to</w:t>
      </w:r>
      <w:r>
        <w:rPr>
          <w:rFonts w:ascii="Helvetica" w:eastAsia="宋体" w:hAnsi="Helvetica"/>
          <w:bCs/>
          <w:sz w:val="24"/>
          <w:szCs w:val="24"/>
          <w:lang w:val="en-US"/>
        </w:rPr>
        <w:t xml:space="preserve"> the NERIS Secretary - </w:t>
      </w:r>
      <w:hyperlink r:id="rId8" w:history="1">
        <w:r w:rsidRPr="00084304">
          <w:rPr>
            <w:rStyle w:val="Lienhypertexte"/>
            <w:rFonts w:ascii="Helvetica" w:eastAsia="宋体" w:hAnsi="Helvetica"/>
            <w:bCs/>
            <w:sz w:val="24"/>
            <w:szCs w:val="24"/>
            <w:lang w:val="en-US"/>
          </w:rPr>
          <w:t>sec@eu-neris.net</w:t>
        </w:r>
      </w:hyperlink>
      <w:r>
        <w:rPr>
          <w:rFonts w:ascii="Helvetica" w:eastAsia="宋体" w:hAnsi="Helvetica"/>
          <w:bCs/>
          <w:sz w:val="24"/>
          <w:szCs w:val="24"/>
          <w:lang w:val="en-US"/>
        </w:rPr>
        <w:t xml:space="preserve"> </w:t>
      </w:r>
    </w:p>
    <w:p w14:paraId="363CE300" w14:textId="2FBAE1EF" w:rsidR="008D5110" w:rsidRPr="00206DB6" w:rsidRDefault="008D5110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 w:rsidRPr="00206DB6">
        <w:rPr>
          <w:rFonts w:ascii="Helvetica" w:eastAsia="宋体" w:hAnsi="Helvetica"/>
          <w:bCs/>
          <w:sz w:val="24"/>
          <w:szCs w:val="24"/>
          <w:lang w:val="en-US"/>
        </w:rPr>
        <w:t xml:space="preserve">Abstract submission deadline: </w:t>
      </w:r>
      <w:r w:rsidR="00DE0FAC">
        <w:rPr>
          <w:rFonts w:ascii="Helvetica" w:eastAsia="宋体" w:hAnsi="Helvetica"/>
          <w:bCs/>
          <w:sz w:val="24"/>
          <w:szCs w:val="24"/>
          <w:lang w:val="en-US"/>
        </w:rPr>
        <w:t>December</w:t>
      </w:r>
      <w:r w:rsidR="006953EF">
        <w:rPr>
          <w:rFonts w:ascii="Helvetica" w:eastAsia="宋体" w:hAnsi="Helvetica"/>
          <w:bCs/>
          <w:sz w:val="24"/>
          <w:szCs w:val="24"/>
          <w:lang w:val="en-US"/>
        </w:rPr>
        <w:t xml:space="preserve"> 19, 2016</w:t>
      </w:r>
      <w:r w:rsidR="00E13B55">
        <w:rPr>
          <w:rFonts w:ascii="Helvetica" w:eastAsia="宋体" w:hAnsi="Helvetica"/>
          <w:bCs/>
          <w:sz w:val="24"/>
          <w:szCs w:val="24"/>
          <w:lang w:val="en-US"/>
        </w:rPr>
        <w:t>.</w:t>
      </w:r>
    </w:p>
    <w:p w14:paraId="58DD58DB" w14:textId="044AD99E" w:rsidR="008D5110" w:rsidRDefault="00A4238B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 w:rsidRPr="00206DB6">
        <w:rPr>
          <w:rFonts w:ascii="Helvetica" w:eastAsia="宋体" w:hAnsi="Helvetica"/>
          <w:bCs/>
          <w:sz w:val="24"/>
          <w:szCs w:val="24"/>
          <w:lang w:val="en-US"/>
        </w:rPr>
        <w:t>Abstracts should be submitted in English</w:t>
      </w:r>
      <w:r w:rsidR="002171BD">
        <w:rPr>
          <w:rFonts w:ascii="Helvetica" w:eastAsia="宋体" w:hAnsi="Helvetica"/>
          <w:bCs/>
          <w:sz w:val="24"/>
          <w:szCs w:val="24"/>
          <w:lang w:val="en-US"/>
        </w:rPr>
        <w:t>.</w:t>
      </w:r>
    </w:p>
    <w:p w14:paraId="7A86CDBA" w14:textId="468B44DC" w:rsidR="00565B09" w:rsidRPr="00206DB6" w:rsidRDefault="00565B09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>
        <w:rPr>
          <w:rFonts w:ascii="Helvetica" w:eastAsia="宋体" w:hAnsi="Helvetica"/>
          <w:bCs/>
          <w:sz w:val="24"/>
          <w:szCs w:val="24"/>
          <w:lang w:val="en-US"/>
        </w:rPr>
        <w:t xml:space="preserve">Abstract length: 1 page </w:t>
      </w:r>
      <w:r w:rsidR="00260092">
        <w:rPr>
          <w:rFonts w:ascii="Helvetica" w:eastAsia="宋体" w:hAnsi="Helvetica"/>
          <w:bCs/>
          <w:sz w:val="24"/>
          <w:szCs w:val="24"/>
          <w:lang w:val="en-US"/>
        </w:rPr>
        <w:t>maximum</w:t>
      </w:r>
      <w:r w:rsidR="002171BD">
        <w:rPr>
          <w:rFonts w:ascii="Helvetica" w:eastAsia="宋体" w:hAnsi="Helvetica"/>
          <w:bCs/>
          <w:sz w:val="24"/>
          <w:szCs w:val="24"/>
          <w:lang w:val="en-US"/>
        </w:rPr>
        <w:t>.</w:t>
      </w:r>
    </w:p>
    <w:p w14:paraId="14BDFA53" w14:textId="21DA67AC" w:rsidR="00A4238B" w:rsidRPr="00206DB6" w:rsidRDefault="00A4238B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 w:rsidRPr="00206DB6">
        <w:rPr>
          <w:rFonts w:ascii="Helvetica" w:eastAsia="宋体" w:hAnsi="Helvetica"/>
          <w:bCs/>
          <w:sz w:val="24"/>
          <w:szCs w:val="24"/>
          <w:lang w:val="en-US"/>
        </w:rPr>
        <w:t>Electronic submission using the abstract template is compulsory</w:t>
      </w:r>
      <w:r w:rsidR="00E13B55">
        <w:rPr>
          <w:rFonts w:ascii="Helvetica" w:eastAsia="宋体" w:hAnsi="Helvetica"/>
          <w:bCs/>
          <w:sz w:val="24"/>
          <w:szCs w:val="24"/>
          <w:lang w:val="en-US"/>
        </w:rPr>
        <w:t>.</w:t>
      </w:r>
    </w:p>
    <w:p w14:paraId="73B021FA" w14:textId="04B42445" w:rsidR="00A4238B" w:rsidRDefault="00A4238B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 w:rsidRPr="00206DB6">
        <w:rPr>
          <w:rFonts w:ascii="Helvetica" w:eastAsia="宋体" w:hAnsi="Helvetica"/>
          <w:bCs/>
          <w:sz w:val="24"/>
          <w:szCs w:val="24"/>
          <w:lang w:val="en-US"/>
        </w:rPr>
        <w:t xml:space="preserve">Scientific Programme Committee will select a limited number of abstract for oral and poster presentations. Authors will receive notification of acceptance </w:t>
      </w:r>
      <w:r w:rsidR="005A234E">
        <w:rPr>
          <w:rFonts w:ascii="Helvetica" w:eastAsia="宋体" w:hAnsi="Helvetica"/>
          <w:bCs/>
          <w:sz w:val="24"/>
          <w:szCs w:val="24"/>
          <w:lang w:val="en-US"/>
        </w:rPr>
        <w:t xml:space="preserve">by </w:t>
      </w:r>
      <w:r w:rsidR="006953EF">
        <w:rPr>
          <w:rFonts w:ascii="Helvetica" w:eastAsia="宋体" w:hAnsi="Helvetica"/>
          <w:bCs/>
          <w:sz w:val="24"/>
          <w:szCs w:val="24"/>
          <w:lang w:val="en-US"/>
        </w:rPr>
        <w:t>January 31, 2017</w:t>
      </w:r>
      <w:r w:rsidR="005A234E">
        <w:rPr>
          <w:rFonts w:ascii="Helvetica" w:eastAsia="宋体" w:hAnsi="Helvetica"/>
          <w:bCs/>
          <w:sz w:val="24"/>
          <w:szCs w:val="24"/>
          <w:lang w:val="en-US"/>
        </w:rPr>
        <w:t>.</w:t>
      </w:r>
      <w:r w:rsidR="000903D7">
        <w:rPr>
          <w:rFonts w:ascii="Helvetica" w:eastAsia="宋体" w:hAnsi="Helvetica"/>
          <w:bCs/>
          <w:sz w:val="24"/>
          <w:szCs w:val="24"/>
          <w:lang w:val="en-US"/>
        </w:rPr>
        <w:t xml:space="preserve"> </w:t>
      </w:r>
    </w:p>
    <w:p w14:paraId="7B676E58" w14:textId="17FE5202" w:rsidR="002171BD" w:rsidRDefault="002171BD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>
        <w:rPr>
          <w:rFonts w:ascii="Helvetica" w:eastAsia="宋体" w:hAnsi="Helvetica"/>
          <w:bCs/>
          <w:sz w:val="24"/>
          <w:szCs w:val="24"/>
          <w:lang w:val="en-US"/>
        </w:rPr>
        <w:t>Full-paper submission deadline: April 1</w:t>
      </w:r>
      <w:r w:rsidR="006953EF">
        <w:rPr>
          <w:rFonts w:ascii="Helvetica" w:eastAsia="宋体" w:hAnsi="Helvetica"/>
          <w:bCs/>
          <w:sz w:val="24"/>
          <w:szCs w:val="24"/>
          <w:lang w:val="en-US"/>
        </w:rPr>
        <w:t>9, 2019</w:t>
      </w:r>
      <w:r>
        <w:rPr>
          <w:rFonts w:ascii="Helvetica" w:eastAsia="宋体" w:hAnsi="Helvetica"/>
          <w:bCs/>
          <w:sz w:val="24"/>
          <w:szCs w:val="24"/>
          <w:lang w:val="en-US"/>
        </w:rPr>
        <w:t xml:space="preserve">. </w:t>
      </w:r>
    </w:p>
    <w:p w14:paraId="0CE7AC4C" w14:textId="390AF3E2" w:rsidR="002171BD" w:rsidRPr="00206DB6" w:rsidRDefault="002171BD" w:rsidP="00206DB6">
      <w:pPr>
        <w:pStyle w:val="Paragraphedeliste"/>
        <w:numPr>
          <w:ilvl w:val="0"/>
          <w:numId w:val="3"/>
        </w:numPr>
        <w:spacing w:after="120"/>
        <w:jc w:val="both"/>
        <w:rPr>
          <w:rFonts w:ascii="Helvetica" w:eastAsia="宋体" w:hAnsi="Helvetica"/>
          <w:bCs/>
          <w:sz w:val="24"/>
          <w:szCs w:val="24"/>
          <w:lang w:val="en-US"/>
        </w:rPr>
      </w:pPr>
      <w:r>
        <w:rPr>
          <w:rFonts w:ascii="Helvetica" w:eastAsia="宋体" w:hAnsi="Helvetica"/>
          <w:bCs/>
          <w:sz w:val="24"/>
          <w:szCs w:val="24"/>
          <w:lang w:val="en-US"/>
        </w:rPr>
        <w:t xml:space="preserve">Papers will be published on a NERIS report. </w:t>
      </w:r>
    </w:p>
    <w:sectPr w:rsidR="002171BD" w:rsidRPr="00206DB6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903"/>
    <w:multiLevelType w:val="hybridMultilevel"/>
    <w:tmpl w:val="6C569B52"/>
    <w:lvl w:ilvl="0" w:tplc="1108B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085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A8B7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A0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65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B6C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C0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2A48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2CA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6D18B8"/>
    <w:multiLevelType w:val="hybridMultilevel"/>
    <w:tmpl w:val="238E79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33544"/>
    <w:multiLevelType w:val="hybridMultilevel"/>
    <w:tmpl w:val="4CFE27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0"/>
    <w:rsid w:val="000903D7"/>
    <w:rsid w:val="001450C7"/>
    <w:rsid w:val="00206DB6"/>
    <w:rsid w:val="002171BD"/>
    <w:rsid w:val="00260092"/>
    <w:rsid w:val="00287DE7"/>
    <w:rsid w:val="002A3C88"/>
    <w:rsid w:val="002C07AE"/>
    <w:rsid w:val="00326E35"/>
    <w:rsid w:val="003942C6"/>
    <w:rsid w:val="004634F8"/>
    <w:rsid w:val="004D035D"/>
    <w:rsid w:val="00565B09"/>
    <w:rsid w:val="005A234E"/>
    <w:rsid w:val="006953EF"/>
    <w:rsid w:val="006D2138"/>
    <w:rsid w:val="007131A7"/>
    <w:rsid w:val="00775F80"/>
    <w:rsid w:val="00783436"/>
    <w:rsid w:val="007E7878"/>
    <w:rsid w:val="00817B4B"/>
    <w:rsid w:val="008D5110"/>
    <w:rsid w:val="009C6383"/>
    <w:rsid w:val="00A4238B"/>
    <w:rsid w:val="00A7638B"/>
    <w:rsid w:val="00AF1890"/>
    <w:rsid w:val="00B6479B"/>
    <w:rsid w:val="00C959D0"/>
    <w:rsid w:val="00DE0FAC"/>
    <w:rsid w:val="00E13B55"/>
    <w:rsid w:val="00E20305"/>
    <w:rsid w:val="00E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8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8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04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022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54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ec@eu-neri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1206</Characters>
  <Application>Microsoft Macintosh Word</Application>
  <DocSecurity>0</DocSecurity>
  <Lines>10</Lines>
  <Paragraphs>2</Paragraphs>
  <ScaleCrop>false</ScaleCrop>
  <Company>CEPN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Mélanie Maître</cp:lastModifiedBy>
  <cp:revision>5</cp:revision>
  <dcterms:created xsi:type="dcterms:W3CDTF">2016-09-30T12:07:00Z</dcterms:created>
  <dcterms:modified xsi:type="dcterms:W3CDTF">2016-10-20T06:57:00Z</dcterms:modified>
</cp:coreProperties>
</file>